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096"/>
        <w:tblW w:w="1175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1632"/>
        <w:gridCol w:w="4819"/>
      </w:tblGrid>
      <w:tr w:rsidR="00B55790" w:rsidRPr="00B55790" w14:paraId="14F6E4C2" w14:textId="77777777" w:rsidTr="00B55790">
        <w:trPr>
          <w:trHeight w:val="987"/>
        </w:trPr>
        <w:tc>
          <w:tcPr>
            <w:tcW w:w="530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25861089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57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Башкортостан  Республикаһы</w:t>
            </w:r>
          </w:p>
          <w:p w14:paraId="233530C9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5790">
              <w:rPr>
                <w:rFonts w:ascii="Times New Roman" w:hAnsi="Times New Roman" w:cs="Times New Roman"/>
                <w:lang w:val="be-BY"/>
              </w:rPr>
              <w:t>Ишембай районы</w:t>
            </w:r>
          </w:p>
          <w:p w14:paraId="4A9D60C4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5790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14:paraId="12961F90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5790">
              <w:rPr>
                <w:rFonts w:ascii="Times New Roman" w:hAnsi="Times New Roman" w:cs="Times New Roman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6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2445A16B" w14:textId="77777777" w:rsidR="00B55790" w:rsidRPr="00B55790" w:rsidRDefault="00B55790" w:rsidP="00B55790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4E5200" w14:textId="77777777" w:rsidR="00B55790" w:rsidRPr="00B55790" w:rsidRDefault="00B55790" w:rsidP="00B55790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4"/>
                <w:lang w:val="be-BY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3DAC9275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790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B55790">
              <w:rPr>
                <w:rFonts w:ascii="Times New Roman" w:hAnsi="Times New Roman" w:cs="Times New Roman"/>
              </w:rPr>
              <w:t xml:space="preserve"> поселения</w:t>
            </w:r>
          </w:p>
          <w:p w14:paraId="207B5EC8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790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Pr="00B55790">
              <w:rPr>
                <w:rFonts w:ascii="Times New Roman" w:hAnsi="Times New Roman" w:cs="Times New Roman"/>
              </w:rPr>
              <w:t xml:space="preserve"> сельсовет</w:t>
            </w:r>
          </w:p>
          <w:p w14:paraId="37EFF50D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790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0B98B7C3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790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B55790">
              <w:rPr>
                <w:rFonts w:ascii="Times New Roman" w:hAnsi="Times New Roman" w:cs="Times New Roman"/>
              </w:rPr>
              <w:t xml:space="preserve"> район</w:t>
            </w:r>
          </w:p>
          <w:p w14:paraId="7CCE649D" w14:textId="77777777" w:rsidR="00B55790" w:rsidRPr="00B55790" w:rsidRDefault="00B55790" w:rsidP="00B55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79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14:paraId="5EB2948E" w14:textId="479A8443" w:rsidR="00B55790" w:rsidRPr="00B55790" w:rsidRDefault="00B55790" w:rsidP="00B55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790">
        <w:rPr>
          <w:rFonts w:ascii="Times New Roman" w:hAnsi="Times New Roman" w:cs="Times New Roman"/>
          <w:b/>
          <w:sz w:val="28"/>
          <w:szCs w:val="28"/>
        </w:rPr>
        <w:t xml:space="preserve">К А Р А Р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5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CA5B1A7" w14:textId="77777777" w:rsidR="00B55790" w:rsidRDefault="00B55790" w:rsidP="00B557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F6C953" w14:textId="6D4540EF" w:rsidR="00B55790" w:rsidRPr="00B55790" w:rsidRDefault="00B55790" w:rsidP="00B55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790"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5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5790">
        <w:rPr>
          <w:rFonts w:ascii="Times New Roman" w:hAnsi="Times New Roman" w:cs="Times New Roman"/>
          <w:b/>
          <w:sz w:val="28"/>
          <w:szCs w:val="28"/>
        </w:rPr>
        <w:t xml:space="preserve">от 14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5579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14:paraId="1E964EC5" w14:textId="77777777" w:rsidR="00B55790" w:rsidRPr="00B55790" w:rsidRDefault="00B55790" w:rsidP="00B557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42FE16" w14:textId="388C6511" w:rsidR="009569E4" w:rsidRPr="00B55790" w:rsidRDefault="00B55790" w:rsidP="00B55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69E4" w:rsidRPr="00B5579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 w:rsidR="00271BE4" w:rsidRPr="00B55790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="009569E4" w:rsidRPr="00B557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714198" w:rsidRPr="00B55790">
        <w:rPr>
          <w:rFonts w:ascii="Times New Roman" w:hAnsi="Times New Roman" w:cs="Times New Roman"/>
          <w:b/>
          <w:sz w:val="28"/>
          <w:szCs w:val="28"/>
        </w:rPr>
        <w:t>Ишимбайский</w:t>
      </w:r>
      <w:r w:rsidR="009569E4" w:rsidRPr="00B557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долгосрочный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1A75B8" w14:textId="5EB2DCFC" w:rsidR="007671EA" w:rsidRDefault="009569E4" w:rsidP="00767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Решением Совета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бюджетном процессе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Башкортостану», постановляю:</w:t>
      </w:r>
    </w:p>
    <w:p w14:paraId="2D230AFB" w14:textId="0B766354" w:rsidR="00AA1EE1" w:rsidRDefault="009569E4" w:rsidP="00AA1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1. 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 и утверждения бюджетного прогноза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период.</w:t>
      </w:r>
    </w:p>
    <w:p w14:paraId="346911AE" w14:textId="0E10AB00" w:rsidR="007671EA" w:rsidRDefault="009569E4" w:rsidP="00AA1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2. 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Установить, что бюджетный прогноз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</w:t>
      </w:r>
      <w:r w:rsidR="007671EA">
        <w:rPr>
          <w:rFonts w:ascii="Times New Roman" w:hAnsi="Times New Roman" w:cs="Times New Roman"/>
          <w:sz w:val="28"/>
          <w:szCs w:val="28"/>
        </w:rPr>
        <w:t>с</w:t>
      </w:r>
      <w:r w:rsidR="00F7788E" w:rsidRPr="009569E4">
        <w:rPr>
          <w:rFonts w:ascii="Times New Roman" w:hAnsi="Times New Roman" w:cs="Times New Roman"/>
          <w:sz w:val="28"/>
          <w:szCs w:val="28"/>
        </w:rPr>
        <w:t>рочный период, но не менее чем на 12 лет.</w:t>
      </w:r>
    </w:p>
    <w:p w14:paraId="3DD81987" w14:textId="77777777" w:rsidR="009569E4" w:rsidRDefault="009569E4" w:rsidP="00AA1E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З. Контроль за исполнен</w:t>
      </w:r>
      <w:r w:rsidRPr="009569E4">
        <w:rPr>
          <w:rFonts w:ascii="Times New Roman" w:hAnsi="Times New Roman" w:cs="Times New Roman"/>
          <w:sz w:val="28"/>
          <w:szCs w:val="28"/>
        </w:rPr>
        <w:tab/>
        <w:t>постановления оставляю за собой.</w:t>
      </w:r>
    </w:p>
    <w:p w14:paraId="66984E1F" w14:textId="77777777" w:rsidR="00B55790" w:rsidRDefault="00B55790" w:rsidP="00AA1E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9F9F6" w14:textId="77777777" w:rsidR="00B55790" w:rsidRDefault="00B55790" w:rsidP="00AA1E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8174D" w14:textId="489711F2" w:rsid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="00B55790">
        <w:rPr>
          <w:rFonts w:ascii="Times New Roman" w:hAnsi="Times New Roman" w:cs="Times New Roman"/>
          <w:sz w:val="28"/>
          <w:szCs w:val="28"/>
        </w:rPr>
        <w:t xml:space="preserve">                                         С.Д. Юсупов</w:t>
      </w:r>
      <w:r w:rsidRPr="009569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F7788E" w14:paraId="0B50E221" w14:textId="77777777" w:rsidTr="00B55790">
        <w:tc>
          <w:tcPr>
            <w:tcW w:w="4002" w:type="dxa"/>
          </w:tcPr>
          <w:p w14:paraId="5897CAB2" w14:textId="77777777" w:rsidR="00F7788E" w:rsidRDefault="007671EA" w:rsidP="00F7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7788E"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к постановлению Администрации </w:t>
            </w:r>
          </w:p>
          <w:p w14:paraId="2AC69903" w14:textId="0DD0E25F" w:rsidR="00F7788E" w:rsidRDefault="00F7788E" w:rsidP="00F7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271BE4">
              <w:rPr>
                <w:rFonts w:ascii="Times New Roman" w:hAnsi="Times New Roman" w:cs="Times New Roman"/>
                <w:sz w:val="20"/>
                <w:szCs w:val="20"/>
              </w:rPr>
              <w:t>Байгузинский</w:t>
            </w:r>
            <w:proofErr w:type="spellEnd"/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</w:t>
            </w:r>
          </w:p>
          <w:p w14:paraId="1FE8D604" w14:textId="441BF8B9" w:rsidR="00F7788E" w:rsidRPr="00F7788E" w:rsidRDefault="00F7788E" w:rsidP="00F7788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Башкортостан </w:t>
            </w:r>
            <w:r w:rsidR="00B55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№49 </w:t>
            </w:r>
            <w:proofErr w:type="gramStart"/>
            <w:r w:rsidRPr="00F778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="00B557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1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790">
              <w:rPr>
                <w:rFonts w:ascii="Times New Roman" w:hAnsi="Times New Roman" w:cs="Times New Roman"/>
                <w:sz w:val="20"/>
                <w:szCs w:val="20"/>
              </w:rPr>
              <w:t>октября 2020г</w:t>
            </w:r>
          </w:p>
          <w:p w14:paraId="42672DB2" w14:textId="77777777" w:rsidR="00F7788E" w:rsidRDefault="00F7788E" w:rsidP="00F778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FFC502" w14:textId="77777777" w:rsidR="00F7788E" w:rsidRDefault="00F7788E" w:rsidP="00F778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35C055" w14:textId="366B8B9D" w:rsidR="009569E4" w:rsidRPr="009569E4" w:rsidRDefault="009569E4" w:rsidP="00F77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E4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бюджетного прогноза сельского поселения </w:t>
      </w:r>
      <w:proofErr w:type="spellStart"/>
      <w:r w:rsidR="00271BE4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9569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b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долгосрочный период</w:t>
      </w:r>
    </w:p>
    <w:p w14:paraId="74205837" w14:textId="77777777" w:rsidR="009569E4" w:rsidRPr="009569E4" w:rsidRDefault="009569E4" w:rsidP="009569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51FEF" w14:textId="77777777" w:rsidR="00F7788E" w:rsidRDefault="009569E4" w:rsidP="009569E4">
      <w:pPr>
        <w:pStyle w:val="a4"/>
        <w:numPr>
          <w:ilvl w:val="0"/>
          <w:numId w:val="6"/>
        </w:numPr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 w:rsidRPr="00F7788E">
        <w:rPr>
          <w:rFonts w:ascii="Times New Roman" w:hAnsi="Times New Roman" w:cs="Times New Roman"/>
          <w:sz w:val="28"/>
          <w:szCs w:val="28"/>
        </w:rPr>
        <w:t>Настоящий Порядок определяет сроки, правила разработки и утверждения, требования к составу и содержанию бюджетного прогноза сельского поселения на долгосрочный период (далее - Бюджетный прогноз).</w:t>
      </w:r>
    </w:p>
    <w:p w14:paraId="4C06C14E" w14:textId="77777777" w:rsidR="00F7788E" w:rsidRDefault="009569E4" w:rsidP="009569E4">
      <w:pPr>
        <w:pStyle w:val="a4"/>
        <w:numPr>
          <w:ilvl w:val="0"/>
          <w:numId w:val="6"/>
        </w:numPr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 w:rsidRPr="00F7788E">
        <w:rPr>
          <w:rFonts w:ascii="Times New Roman" w:hAnsi="Times New Roman" w:cs="Times New Roman"/>
          <w:sz w:val="28"/>
          <w:szCs w:val="28"/>
        </w:rPr>
        <w:t xml:space="preserve">Под изменением Бюджетного прогноза понимаются корректировки, вносимые без изменения периода, на который разрабатывается Бюджетный прогноз. </w:t>
      </w:r>
    </w:p>
    <w:p w14:paraId="3A32B0FE" w14:textId="340A76A8" w:rsidR="009569E4" w:rsidRPr="00F7788E" w:rsidRDefault="009569E4" w:rsidP="00F7788E">
      <w:pPr>
        <w:pStyle w:val="a4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788E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F778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F778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соблюдением требований Бюджетного кодекса Российской Федерации на основе вариативного прогноза (изменений прогноза) социально-экономического развития сельского поселения на долгосрочный период (далее Долгосрочный прогноз (изменения Долгосрочного прогноза)).</w:t>
      </w:r>
    </w:p>
    <w:p w14:paraId="45BCCA14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З. Бюджетный прогноз включает описание:</w:t>
      </w:r>
    </w:p>
    <w:p w14:paraId="76A137E1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а) текущих характеристик бюджета сельского поселения;</w:t>
      </w:r>
    </w:p>
    <w:p w14:paraId="21E9B20B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в долгосрочном периоде;</w:t>
      </w:r>
    </w:p>
    <w:p w14:paraId="1D601ADA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14:paraId="0AF2E248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г) прогноза основных характеристик бюджета сельского поселения на долгосрочный период (с учетом положений законодательства Российской Федерации, Республики Башкортостан, нормативных актов органов местного </w:t>
      </w:r>
      <w:r w:rsidRPr="009569E4">
        <w:rPr>
          <w:rFonts w:ascii="Times New Roman" w:hAnsi="Times New Roman" w:cs="Times New Roman"/>
          <w:sz w:val="28"/>
          <w:szCs w:val="28"/>
        </w:rPr>
        <w:lastRenderedPageBreak/>
        <w:t>самоуправления, действующих на день разработки Бюджетного прогноза) и структуры доходов и расходов бюджета сельского поселения;</w:t>
      </w:r>
    </w:p>
    <w:p w14:paraId="22DFA9C4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д) муниципального долга сельского поселения;</w:t>
      </w:r>
    </w:p>
    <w:p w14:paraId="79809439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14:paraId="54C34E9C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4. Бюджетный прогноз содержит: </w:t>
      </w:r>
    </w:p>
    <w:p w14:paraId="63AB92E8" w14:textId="77777777" w:rsidR="00F7788E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а) основные параметры прогноза (изменений прогноза) социально</w:t>
      </w:r>
      <w:r w:rsidR="00F7788E">
        <w:rPr>
          <w:rFonts w:ascii="Times New Roman" w:hAnsi="Times New Roman" w:cs="Times New Roman"/>
          <w:sz w:val="28"/>
          <w:szCs w:val="28"/>
        </w:rPr>
        <w:t>-</w:t>
      </w:r>
      <w:r w:rsidRPr="009569E4">
        <w:rPr>
          <w:rFonts w:ascii="Times New Roman" w:hAnsi="Times New Roman" w:cs="Times New Roman"/>
          <w:sz w:val="28"/>
          <w:szCs w:val="28"/>
        </w:rPr>
        <w:t>экономического развития сельского поселения на дол</w:t>
      </w:r>
      <w:r w:rsidR="0094251D">
        <w:rPr>
          <w:rFonts w:ascii="Times New Roman" w:hAnsi="Times New Roman" w:cs="Times New Roman"/>
          <w:sz w:val="28"/>
          <w:szCs w:val="28"/>
        </w:rPr>
        <w:t xml:space="preserve">госрочный период (приложение № </w:t>
      </w:r>
      <w:r w:rsidRPr="009569E4">
        <w:rPr>
          <w:rFonts w:ascii="Times New Roman" w:hAnsi="Times New Roman" w:cs="Times New Roman"/>
          <w:sz w:val="28"/>
          <w:szCs w:val="28"/>
        </w:rPr>
        <w:t>1 к настоящему Порядку);</w:t>
      </w:r>
    </w:p>
    <w:p w14:paraId="482FBF20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прогноз основных характеристик бюджета сельского поселения на дол</w:t>
      </w:r>
      <w:r w:rsidR="0094251D">
        <w:rPr>
          <w:rFonts w:ascii="Times New Roman" w:hAnsi="Times New Roman" w:cs="Times New Roman"/>
          <w:sz w:val="28"/>
          <w:szCs w:val="28"/>
        </w:rPr>
        <w:t xml:space="preserve">госрочный период (приложение № </w:t>
      </w:r>
      <w:r w:rsidRPr="009569E4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14:paraId="6AC3F73A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в) предельные расходы бюджета сельского поселения на финансовое обеспечение реализации муници</w:t>
      </w:r>
      <w:r w:rsidR="0094251D">
        <w:rPr>
          <w:rFonts w:ascii="Times New Roman" w:hAnsi="Times New Roman" w:cs="Times New Roman"/>
          <w:sz w:val="28"/>
          <w:szCs w:val="28"/>
        </w:rPr>
        <w:t xml:space="preserve">пальных программ (приложение № </w:t>
      </w:r>
      <w:r w:rsidRPr="009569E4">
        <w:rPr>
          <w:rFonts w:ascii="Times New Roman" w:hAnsi="Times New Roman" w:cs="Times New Roman"/>
          <w:sz w:val="28"/>
          <w:szCs w:val="28"/>
        </w:rPr>
        <w:t>3 к настоящему Порядку)</w:t>
      </w:r>
      <w:r w:rsidR="00F7788E">
        <w:rPr>
          <w:rFonts w:ascii="Times New Roman" w:hAnsi="Times New Roman" w:cs="Times New Roman"/>
          <w:sz w:val="28"/>
          <w:szCs w:val="28"/>
        </w:rPr>
        <w:t>.</w:t>
      </w:r>
    </w:p>
    <w:p w14:paraId="7AF06CA5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14:paraId="7484EA74" w14:textId="3D64E31B" w:rsidR="00F7788E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6. На первом этапе Администрацией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14:paraId="2A234F5D" w14:textId="77777777" w:rsidR="009569E4" w:rsidRPr="009569E4" w:rsidRDefault="009569E4" w:rsidP="00F778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14:paraId="27A879EE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 индекса потребительских цен; объема платных услуг населению; прибыли по </w:t>
      </w:r>
      <w:r w:rsidRPr="009569E4">
        <w:rPr>
          <w:rFonts w:ascii="Times New Roman" w:hAnsi="Times New Roman" w:cs="Times New Roman"/>
          <w:sz w:val="28"/>
          <w:szCs w:val="28"/>
        </w:rPr>
        <w:lastRenderedPageBreak/>
        <w:t>всем видам деятельности; фонда заработной платы; среднемесячной заработной платы;</w:t>
      </w:r>
    </w:p>
    <w:p w14:paraId="055A5C75" w14:textId="77777777" w:rsidR="009569E4" w:rsidRP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14:paraId="7699A26F" w14:textId="77777777" w:rsidR="009569E4" w:rsidRPr="009569E4" w:rsidRDefault="009569E4" w:rsidP="00F778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на очередной финансовый год и плановый период.</w:t>
      </w:r>
    </w:p>
    <w:p w14:paraId="7EF9636C" w14:textId="77777777" w:rsidR="009569E4" w:rsidRPr="009569E4" w:rsidRDefault="009569E4" w:rsidP="009569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14:paraId="4068240A" w14:textId="77777777" w:rsidR="009569E4" w:rsidRPr="009569E4" w:rsidRDefault="009569E4" w:rsidP="00F77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программ сельского поселения) направляется в Совет сельского поселения одновременно с проектом Решения о бюджете сельского поселения на очередной финансовый год и плановый период.</w:t>
      </w:r>
    </w:p>
    <w:p w14:paraId="763B6C92" w14:textId="77777777" w:rsidR="009569E4" w:rsidRPr="009569E4" w:rsidRDefault="009569E4" w:rsidP="009569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На втором этапе Администрацией сельского поселения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14:paraId="60C10E2E" w14:textId="77777777" w:rsidR="009569E4" w:rsidRPr="009569E4" w:rsidRDefault="009569E4" w:rsidP="00F77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Планово-экономическим отделом Администрации сельского поселения в срок не позднее 1 ноября текущего финансового года формирует уточнения в проект Бюджетного прогноза (проект изменений Бюджетного прогноза) по материалам, указанным в пункте 6 настоящего Порядка.</w:t>
      </w:r>
    </w:p>
    <w:p w14:paraId="6949DF56" w14:textId="77777777" w:rsidR="009569E4" w:rsidRPr="009569E4" w:rsidRDefault="009569E4" w:rsidP="00F77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выносится на публичное обсуждение в соответствии с нормативными правовыми актами органов местного самоуправления, регулирующими </w:t>
      </w:r>
      <w:r w:rsidRPr="009569E4">
        <w:rPr>
          <w:rFonts w:ascii="Times New Roman" w:hAnsi="Times New Roman" w:cs="Times New Roman"/>
          <w:sz w:val="28"/>
          <w:szCs w:val="28"/>
        </w:rPr>
        <w:lastRenderedPageBreak/>
        <w:t>порядок проведения публичного обсуждения проектов документов стратегического планирования сельского поселения.</w:t>
      </w:r>
    </w:p>
    <w:p w14:paraId="5209E445" w14:textId="77777777" w:rsidR="009569E4" w:rsidRPr="009569E4" w:rsidRDefault="009569E4" w:rsidP="009569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На третьем этапе сельским поселением не позднее месячного срока со дня принятия Советом сельского поселения Решения о бюджете сельского поселения на очередной финансовый год и плановый период разрабатывает на утверждение Бюджетный прогноз (изменения Бюджетного прогноза), который утверждается Главой сельского поселения в срок, не превышающий двух месяцев со дня официального опубликования Решения Совета сельского поселения о бюджете сельского поселения на очередной финансовый год и плановый период.</w:t>
      </w:r>
    </w:p>
    <w:p w14:paraId="608718D6" w14:textId="77777777" w:rsidR="009569E4" w:rsidRPr="009569E4" w:rsidRDefault="009569E4" w:rsidP="009569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Бюджетный прогноз корректируется Администрацией сельского поселения с учетом:</w:t>
      </w:r>
    </w:p>
    <w:p w14:paraId="39D0A78E" w14:textId="77777777" w:rsidR="009569E4" w:rsidRPr="009569E4" w:rsidRDefault="009569E4" w:rsidP="00F7788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14:paraId="14B8B5F3" w14:textId="77777777" w:rsidR="009569E4" w:rsidRPr="009569E4" w:rsidRDefault="009569E4" w:rsidP="00F7788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формирования (утверждения) Решения о бюджете сельского поселения на очередной финансовый год и плановый период;</w:t>
      </w:r>
    </w:p>
    <w:p w14:paraId="0D28EA12" w14:textId="77777777" w:rsidR="009569E4" w:rsidRPr="009569E4" w:rsidRDefault="009569E4" w:rsidP="00F7788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14:paraId="75A87041" w14:textId="77777777" w:rsidR="009569E4" w:rsidRPr="009569E4" w:rsidRDefault="009569E4" w:rsidP="00F7788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14:paraId="59E764E6" w14:textId="77777777" w:rsid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6ABFD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0D9FC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7608E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FF06A" w14:textId="1276B59E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23BF2" w14:textId="0F62B30B" w:rsidR="00714198" w:rsidRDefault="00714198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B77D9" w14:textId="77777777" w:rsidR="00714198" w:rsidRDefault="00714198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19DDD" w14:textId="77777777" w:rsidR="00B55790" w:rsidRDefault="00B55790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1D3CB" w14:textId="77777777" w:rsidR="00B55790" w:rsidRDefault="00B55790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6E88A" w14:textId="77777777" w:rsidR="00B55790" w:rsidRDefault="00B55790" w:rsidP="009569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064CB4" w14:textId="77777777" w:rsidR="000F3F6F" w:rsidRP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Приложение № 1 к Порядку разработки</w:t>
      </w:r>
    </w:p>
    <w:p w14:paraId="66B95AEC" w14:textId="77777777" w:rsidR="000F3F6F" w:rsidRP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и утверждения бюджетного прогноза </w:t>
      </w:r>
    </w:p>
    <w:p w14:paraId="6FE1FF26" w14:textId="7D67D13E" w:rsidR="000F3F6F" w:rsidRP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271BE4">
        <w:rPr>
          <w:rFonts w:ascii="Times New Roman" w:hAnsi="Times New Roman" w:cs="Times New Roman"/>
          <w:sz w:val="20"/>
          <w:szCs w:val="20"/>
        </w:rPr>
        <w:t>Байгузинский</w:t>
      </w:r>
      <w:proofErr w:type="spellEnd"/>
      <w:r w:rsidRPr="000F3F6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4C0658D4" w14:textId="77777777" w:rsidR="000F3F6F" w:rsidRP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муниципального района Республики</w:t>
      </w:r>
    </w:p>
    <w:p w14:paraId="2A8A98F4" w14:textId="77777777" w:rsid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Башкортостан на долгосрочный период</w:t>
      </w:r>
    </w:p>
    <w:p w14:paraId="221A9D9D" w14:textId="77777777" w:rsid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1D42C2" w14:textId="77777777" w:rsid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970B8E" w14:textId="77777777" w:rsidR="000F3F6F" w:rsidRDefault="000F3F6F" w:rsidP="000F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6F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14:paraId="28A322D3" w14:textId="4C050CA1" w:rsidR="000F3F6F" w:rsidRPr="000F3F6F" w:rsidRDefault="000F3F6F" w:rsidP="000F3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(изменений прогноза) социально-экономического развития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__________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02"/>
        <w:gridCol w:w="1297"/>
        <w:gridCol w:w="1278"/>
        <w:gridCol w:w="1317"/>
        <w:gridCol w:w="1303"/>
        <w:gridCol w:w="1303"/>
        <w:gridCol w:w="1688"/>
      </w:tblGrid>
      <w:tr w:rsidR="000F3F6F" w14:paraId="247FDA82" w14:textId="77777777" w:rsidTr="000F3F6F">
        <w:tc>
          <w:tcPr>
            <w:tcW w:w="2110" w:type="dxa"/>
          </w:tcPr>
          <w:p w14:paraId="157BC322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Показатель, ед. изм.</w:t>
            </w:r>
          </w:p>
        </w:tc>
        <w:tc>
          <w:tcPr>
            <w:tcW w:w="1367" w:type="dxa"/>
          </w:tcPr>
          <w:p w14:paraId="47F9B7F5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67" w:type="dxa"/>
          </w:tcPr>
          <w:p w14:paraId="52130C37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367" w:type="dxa"/>
          </w:tcPr>
          <w:p w14:paraId="3FC88E7F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14:paraId="0C0F62ED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4552C7D5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13C916E4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</w:tr>
      <w:tr w:rsidR="000F3F6F" w14:paraId="04BE9656" w14:textId="77777777" w:rsidTr="000F3F6F">
        <w:tc>
          <w:tcPr>
            <w:tcW w:w="2110" w:type="dxa"/>
          </w:tcPr>
          <w:p w14:paraId="57EE711C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71762EBD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DEBF441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0065B86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EF1EB76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1E2E828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8F11BA6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6F" w14:paraId="1651391D" w14:textId="77777777" w:rsidTr="000F3F6F">
        <w:tc>
          <w:tcPr>
            <w:tcW w:w="2110" w:type="dxa"/>
          </w:tcPr>
          <w:p w14:paraId="1E9A0B5B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6B258AF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300F502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6C439D9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0EC17CC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C59980B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42ABAE9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08D76A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CDB17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DFC8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E054A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DA27A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EFDCF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BBFB8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6E7A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214F0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A0D2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77ACCB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CCBD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53772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CF4BD" w14:textId="77777777" w:rsidR="00FD471A" w:rsidRPr="000F3F6F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0F3F6F">
        <w:rPr>
          <w:rFonts w:ascii="Times New Roman" w:hAnsi="Times New Roman" w:cs="Times New Roman"/>
          <w:sz w:val="20"/>
          <w:szCs w:val="20"/>
        </w:rPr>
        <w:t xml:space="preserve"> к Порядку разработки</w:t>
      </w:r>
    </w:p>
    <w:p w14:paraId="6CC5FF41" w14:textId="77777777" w:rsidR="00FD471A" w:rsidRPr="000F3F6F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и утверждения бюджетного прогноза </w:t>
      </w:r>
    </w:p>
    <w:p w14:paraId="02DE3F8D" w14:textId="543FB1A0" w:rsidR="00FD471A" w:rsidRPr="000F3F6F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271BE4">
        <w:rPr>
          <w:rFonts w:ascii="Times New Roman" w:hAnsi="Times New Roman" w:cs="Times New Roman"/>
          <w:sz w:val="20"/>
          <w:szCs w:val="20"/>
        </w:rPr>
        <w:t>Байгузинский</w:t>
      </w:r>
      <w:proofErr w:type="spellEnd"/>
      <w:r w:rsidRPr="000F3F6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2338BD18" w14:textId="77777777" w:rsidR="00FD471A" w:rsidRPr="000F3F6F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муниципального района Республики</w:t>
      </w:r>
    </w:p>
    <w:p w14:paraId="52BB1664" w14:textId="77777777" w:rsidR="00FD471A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Башкортостан на долгосрочный период</w:t>
      </w:r>
    </w:p>
    <w:p w14:paraId="6E56CE8C" w14:textId="77777777" w:rsidR="00FD471A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3EB0FF" w14:textId="77777777" w:rsidR="00FD471A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18DBE9" w14:textId="5B23D85D" w:rsidR="00FD471A" w:rsidRPr="00FD471A" w:rsidRDefault="00FD471A" w:rsidP="00FD4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517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</w:t>
      </w:r>
    </w:p>
    <w:p w14:paraId="3FB9591B" w14:textId="290F3B5A" w:rsidR="00FD471A" w:rsidRPr="000F3F6F" w:rsidRDefault="00FD471A" w:rsidP="00FD4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__________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94"/>
        <w:gridCol w:w="1299"/>
        <w:gridCol w:w="1280"/>
        <w:gridCol w:w="1318"/>
        <w:gridCol w:w="1304"/>
        <w:gridCol w:w="1305"/>
        <w:gridCol w:w="1688"/>
      </w:tblGrid>
      <w:tr w:rsidR="00FD471A" w14:paraId="023B428C" w14:textId="77777777" w:rsidTr="00981582">
        <w:tc>
          <w:tcPr>
            <w:tcW w:w="2110" w:type="dxa"/>
          </w:tcPr>
          <w:p w14:paraId="449C2405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7" w:type="dxa"/>
          </w:tcPr>
          <w:p w14:paraId="351EAB09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67" w:type="dxa"/>
          </w:tcPr>
          <w:p w14:paraId="74943C3A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367" w:type="dxa"/>
          </w:tcPr>
          <w:p w14:paraId="75D7739B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14:paraId="657AE8EF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3746FAC2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390EA777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</w:tr>
      <w:tr w:rsidR="00FD471A" w14:paraId="584FF981" w14:textId="77777777" w:rsidTr="00981582">
        <w:tc>
          <w:tcPr>
            <w:tcW w:w="2110" w:type="dxa"/>
          </w:tcPr>
          <w:p w14:paraId="36749ED2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2FDAD58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8EFC549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17063D4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FB27B7B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D37F1C1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6424B50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1A" w14:paraId="7DF0A736" w14:textId="77777777" w:rsidTr="00981582">
        <w:tc>
          <w:tcPr>
            <w:tcW w:w="2110" w:type="dxa"/>
          </w:tcPr>
          <w:p w14:paraId="0F23A19C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4FB85AF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0446444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7AC7486F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A32D252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ABB6158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192205F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BC67E" w14:textId="77777777" w:rsidR="00FD471A" w:rsidRDefault="00FD471A" w:rsidP="00FD4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A9DA0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DD266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D73A2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A1339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057D5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67652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60FDD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B7696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14883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79258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6221F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7C52B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3EE85" w14:textId="77777777" w:rsidR="0094251D" w:rsidRPr="000F3F6F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F3F6F">
        <w:rPr>
          <w:rFonts w:ascii="Times New Roman" w:hAnsi="Times New Roman" w:cs="Times New Roman"/>
          <w:sz w:val="20"/>
          <w:szCs w:val="20"/>
        </w:rPr>
        <w:t xml:space="preserve"> к Порядку разработки</w:t>
      </w:r>
    </w:p>
    <w:p w14:paraId="35F22D5F" w14:textId="77777777" w:rsidR="0094251D" w:rsidRPr="000F3F6F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и утверждения бюджетного прогноза </w:t>
      </w:r>
    </w:p>
    <w:p w14:paraId="26C3732D" w14:textId="5C936F18" w:rsidR="0094251D" w:rsidRPr="000F3F6F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271BE4">
        <w:rPr>
          <w:rFonts w:ascii="Times New Roman" w:hAnsi="Times New Roman" w:cs="Times New Roman"/>
          <w:sz w:val="20"/>
          <w:szCs w:val="20"/>
        </w:rPr>
        <w:t>Байгузинский</w:t>
      </w:r>
      <w:proofErr w:type="spellEnd"/>
      <w:r w:rsidRPr="000F3F6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33263AC6" w14:textId="77777777" w:rsidR="0094251D" w:rsidRPr="000F3F6F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муниципального района Республики</w:t>
      </w:r>
    </w:p>
    <w:p w14:paraId="5CA984F6" w14:textId="77777777" w:rsidR="0094251D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Башкортостан на долгосрочный период</w:t>
      </w:r>
    </w:p>
    <w:p w14:paraId="6E5EB2B2" w14:textId="77777777" w:rsidR="0094251D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FA54FE" w14:textId="77777777" w:rsidR="0094251D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9B77B4" w14:textId="77777777" w:rsidR="0094251D" w:rsidRDefault="0094251D" w:rsidP="009425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РАСХОДЫ</w:t>
      </w:r>
    </w:p>
    <w:p w14:paraId="564C0FA7" w14:textId="3FA7D7FA" w:rsidR="0094251D" w:rsidRPr="000F3F6F" w:rsidRDefault="0094251D" w:rsidP="009425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271BE4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финансовое обеспечение реализации муниципальных программ сельского поселения на период до __________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94"/>
        <w:gridCol w:w="1299"/>
        <w:gridCol w:w="1280"/>
        <w:gridCol w:w="1318"/>
        <w:gridCol w:w="1304"/>
        <w:gridCol w:w="1305"/>
        <w:gridCol w:w="1688"/>
      </w:tblGrid>
      <w:tr w:rsidR="0094251D" w14:paraId="46498DC3" w14:textId="77777777" w:rsidTr="00981582">
        <w:tc>
          <w:tcPr>
            <w:tcW w:w="2110" w:type="dxa"/>
          </w:tcPr>
          <w:p w14:paraId="3F015CA6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7" w:type="dxa"/>
          </w:tcPr>
          <w:p w14:paraId="324C241F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67" w:type="dxa"/>
          </w:tcPr>
          <w:p w14:paraId="2E128E9B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367" w:type="dxa"/>
          </w:tcPr>
          <w:p w14:paraId="18F5A5E1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14:paraId="22E96CDA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70019EF0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093B62CA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</w:tr>
      <w:tr w:rsidR="0094251D" w14:paraId="7008B687" w14:textId="77777777" w:rsidTr="00981582">
        <w:tc>
          <w:tcPr>
            <w:tcW w:w="2110" w:type="dxa"/>
          </w:tcPr>
          <w:p w14:paraId="0ED05C64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A75270A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B67AC1C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3428337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9B0B509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B1E153A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C212EAF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1D" w14:paraId="24142B59" w14:textId="77777777" w:rsidTr="00981582">
        <w:tc>
          <w:tcPr>
            <w:tcW w:w="2110" w:type="dxa"/>
          </w:tcPr>
          <w:p w14:paraId="194F59C6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433B6CE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EF8C751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9033708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B63081F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13B5B6A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D2EB64B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FAF7A" w14:textId="77777777" w:rsidR="0094251D" w:rsidRDefault="0094251D" w:rsidP="009425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BB35D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CBAAB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221B1" w14:textId="77777777" w:rsidR="0094251D" w:rsidRPr="009569E4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251D" w:rsidRPr="009569E4" w:rsidSect="009569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523C" w14:textId="77777777" w:rsidR="00432A67" w:rsidRDefault="00432A67" w:rsidP="000F3F6F">
      <w:pPr>
        <w:spacing w:after="0" w:line="240" w:lineRule="auto"/>
      </w:pPr>
      <w:r>
        <w:separator/>
      </w:r>
    </w:p>
  </w:endnote>
  <w:endnote w:type="continuationSeparator" w:id="0">
    <w:p w14:paraId="5DE85CA5" w14:textId="77777777" w:rsidR="00432A67" w:rsidRDefault="00432A67" w:rsidP="000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2750" w14:textId="77777777" w:rsidR="000F3F6F" w:rsidRDefault="000F3F6F">
    <w:pPr>
      <w:pStyle w:val="a7"/>
    </w:pPr>
  </w:p>
  <w:p w14:paraId="1814DEB0" w14:textId="77777777" w:rsidR="000F3F6F" w:rsidRDefault="000F3F6F">
    <w:pPr>
      <w:pStyle w:val="a7"/>
    </w:pPr>
  </w:p>
  <w:p w14:paraId="73AFC95F" w14:textId="77777777" w:rsidR="000F3F6F" w:rsidRDefault="000F3F6F">
    <w:pPr>
      <w:pStyle w:val="a7"/>
    </w:pPr>
  </w:p>
  <w:p w14:paraId="39CD2DA2" w14:textId="77777777" w:rsidR="000F3F6F" w:rsidRDefault="000F3F6F">
    <w:pPr>
      <w:pStyle w:val="a7"/>
    </w:pPr>
  </w:p>
  <w:p w14:paraId="0F5C7DE4" w14:textId="77777777" w:rsidR="000F3F6F" w:rsidRDefault="000F3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641A" w14:textId="77777777" w:rsidR="00432A67" w:rsidRDefault="00432A67" w:rsidP="000F3F6F">
      <w:pPr>
        <w:spacing w:after="0" w:line="240" w:lineRule="auto"/>
      </w:pPr>
      <w:r>
        <w:separator/>
      </w:r>
    </w:p>
  </w:footnote>
  <w:footnote w:type="continuationSeparator" w:id="0">
    <w:p w14:paraId="406AF5EC" w14:textId="77777777" w:rsidR="00432A67" w:rsidRDefault="00432A67" w:rsidP="000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283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01A0B02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4BD67A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D92379"/>
    <w:multiLevelType w:val="hybridMultilevel"/>
    <w:tmpl w:val="32A2F134"/>
    <w:lvl w:ilvl="0" w:tplc="EAE87262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E7766">
      <w:start w:val="1"/>
      <w:numFmt w:val="lowerLetter"/>
      <w:lvlText w:val="%2"/>
      <w:lvlJc w:val="left"/>
      <w:pPr>
        <w:ind w:left="1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8000696">
      <w:start w:val="1"/>
      <w:numFmt w:val="lowerRoman"/>
      <w:lvlText w:val="%3"/>
      <w:lvlJc w:val="left"/>
      <w:pPr>
        <w:ind w:left="2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0DA9ACE">
      <w:start w:val="1"/>
      <w:numFmt w:val="decimal"/>
      <w:lvlText w:val="%4"/>
      <w:lvlJc w:val="left"/>
      <w:pPr>
        <w:ind w:left="3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FEAF7EC">
      <w:start w:val="1"/>
      <w:numFmt w:val="lowerLetter"/>
      <w:lvlText w:val="%5"/>
      <w:lvlJc w:val="left"/>
      <w:pPr>
        <w:ind w:left="3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FA4F97A">
      <w:start w:val="1"/>
      <w:numFmt w:val="lowerRoman"/>
      <w:lvlText w:val="%6"/>
      <w:lvlJc w:val="left"/>
      <w:pPr>
        <w:ind w:left="4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58A89AC">
      <w:start w:val="1"/>
      <w:numFmt w:val="decimal"/>
      <w:lvlText w:val="%7"/>
      <w:lvlJc w:val="left"/>
      <w:pPr>
        <w:ind w:left="5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BC019B8">
      <w:start w:val="1"/>
      <w:numFmt w:val="lowerLetter"/>
      <w:lvlText w:val="%8"/>
      <w:lvlJc w:val="left"/>
      <w:pPr>
        <w:ind w:left="5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AFA0814">
      <w:start w:val="1"/>
      <w:numFmt w:val="lowerRoman"/>
      <w:lvlText w:val="%9"/>
      <w:lvlJc w:val="left"/>
      <w:pPr>
        <w:ind w:left="6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BC334C"/>
    <w:multiLevelType w:val="hybridMultilevel"/>
    <w:tmpl w:val="9F26F1AE"/>
    <w:lvl w:ilvl="0" w:tplc="0A3E2E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61"/>
    <w:rsid w:val="000F3F6F"/>
    <w:rsid w:val="00221BBC"/>
    <w:rsid w:val="002318D4"/>
    <w:rsid w:val="00271BE4"/>
    <w:rsid w:val="002A5BA7"/>
    <w:rsid w:val="002E2C03"/>
    <w:rsid w:val="00310E07"/>
    <w:rsid w:val="00432A67"/>
    <w:rsid w:val="004361A7"/>
    <w:rsid w:val="005707FD"/>
    <w:rsid w:val="005E3B61"/>
    <w:rsid w:val="005F449C"/>
    <w:rsid w:val="00714198"/>
    <w:rsid w:val="00752C80"/>
    <w:rsid w:val="007671EA"/>
    <w:rsid w:val="007C0F70"/>
    <w:rsid w:val="00817F99"/>
    <w:rsid w:val="008C1C6F"/>
    <w:rsid w:val="008F19B1"/>
    <w:rsid w:val="0094251D"/>
    <w:rsid w:val="009569E4"/>
    <w:rsid w:val="00A51720"/>
    <w:rsid w:val="00AA1EE1"/>
    <w:rsid w:val="00AA4686"/>
    <w:rsid w:val="00B55790"/>
    <w:rsid w:val="00BA36DB"/>
    <w:rsid w:val="00D14489"/>
    <w:rsid w:val="00D17453"/>
    <w:rsid w:val="00DA1E33"/>
    <w:rsid w:val="00F7788E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FBDD"/>
  <w15:docId w15:val="{63FFAFEF-DCBC-4463-ADD8-882968C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56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6F"/>
  </w:style>
  <w:style w:type="paragraph" w:styleId="a7">
    <w:name w:val="footer"/>
    <w:basedOn w:val="a"/>
    <w:link w:val="a8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6F"/>
  </w:style>
  <w:style w:type="paragraph" w:styleId="a9">
    <w:name w:val="Balloon Text"/>
    <w:basedOn w:val="a"/>
    <w:link w:val="aa"/>
    <w:uiPriority w:val="99"/>
    <w:semiHidden/>
    <w:unhideWhenUsed/>
    <w:rsid w:val="00A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ДНС!</dc:creator>
  <cp:lastModifiedBy>user</cp:lastModifiedBy>
  <cp:revision>2</cp:revision>
  <cp:lastPrinted>2020-10-13T04:48:00Z</cp:lastPrinted>
  <dcterms:created xsi:type="dcterms:W3CDTF">2020-10-13T04:49:00Z</dcterms:created>
  <dcterms:modified xsi:type="dcterms:W3CDTF">2020-10-13T04:49:00Z</dcterms:modified>
</cp:coreProperties>
</file>